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B25B8" w14:textId="36D60CAF" w:rsidR="00F8172C" w:rsidRDefault="00206C19">
      <w:r w:rsidRPr="00206C19">
        <w:rPr>
          <w:noProof/>
        </w:rPr>
        <w:drawing>
          <wp:inline distT="0" distB="0" distL="0" distR="0" wp14:anchorId="4CB16A18" wp14:editId="56601642">
            <wp:extent cx="1904576" cy="1428432"/>
            <wp:effectExtent l="0" t="0" r="635" b="635"/>
            <wp:docPr id="1234045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04534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9807" cy="144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1AEFB" w14:textId="3B89CF95" w:rsidR="00206C19" w:rsidRDefault="00206C19">
      <w:pPr>
        <w:rPr>
          <w:b/>
          <w:bCs/>
          <w:sz w:val="44"/>
          <w:szCs w:val="44"/>
        </w:rPr>
      </w:pPr>
      <w:r w:rsidRPr="00206C19">
        <w:rPr>
          <w:b/>
          <w:bCs/>
          <w:sz w:val="44"/>
          <w:szCs w:val="44"/>
        </w:rPr>
        <w:t>Designing a Digital Twin for the Management of Noncommunicable Diseases: Protocol for a Pilot Study and Methodology Validation</w:t>
      </w:r>
    </w:p>
    <w:p w14:paraId="6A54C102" w14:textId="6E7F7DEF" w:rsidR="004579AA" w:rsidRPr="004579AA" w:rsidRDefault="004579AA">
      <w:pPr>
        <w:rPr>
          <w:b/>
          <w:bCs/>
        </w:rPr>
      </w:pPr>
      <w:r>
        <w:rPr>
          <w:b/>
          <w:bCs/>
        </w:rPr>
        <w:t xml:space="preserve">Link to the article </w:t>
      </w:r>
      <w:r>
        <w:t xml:space="preserve">at </w:t>
      </w:r>
      <w:hyperlink r:id="rId5" w:history="1">
        <w:r w:rsidRPr="000D27B2">
          <w:rPr>
            <w:rStyle w:val="Hyperlink"/>
          </w:rPr>
          <w:t>https://www.researchprotocols.org/2026/1/e75934/</w:t>
        </w:r>
      </w:hyperlink>
    </w:p>
    <w:p w14:paraId="5C7A4F96" w14:textId="65882E11" w:rsidR="004579AA" w:rsidRDefault="00A64B46">
      <w:pPr>
        <w:rPr>
          <w:rFonts w:ascii="Aptos" w:hAnsi="Aptos"/>
          <w:color w:val="1A254C"/>
          <w:shd w:val="clear" w:color="auto" w:fill="FFFFFF"/>
        </w:rPr>
      </w:pPr>
      <w:r>
        <w:rPr>
          <w:rFonts w:ascii="Aptos" w:hAnsi="Aptos"/>
          <w:color w:val="1A254C"/>
          <w:shd w:val="clear" w:color="auto" w:fill="FFFFFF"/>
        </w:rPr>
        <w:t>Learn</w:t>
      </w:r>
      <w:r w:rsidR="004579AA">
        <w:rPr>
          <w:rFonts w:ascii="Aptos" w:hAnsi="Aptos"/>
          <w:color w:val="1A254C"/>
          <w:shd w:val="clear" w:color="auto" w:fill="FFFFFF"/>
        </w:rPr>
        <w:t xml:space="preserve"> how the </w:t>
      </w:r>
      <w:r w:rsidR="004579AA" w:rsidRPr="00A64B46">
        <w:rPr>
          <w:rFonts w:ascii="Aptos" w:hAnsi="Aptos"/>
          <w:b/>
          <w:bCs/>
          <w:color w:val="1A254C"/>
          <w:shd w:val="clear" w:color="auto" w:fill="FFFFFF"/>
        </w:rPr>
        <w:t>TheraNetrix Digital Twin</w:t>
      </w:r>
      <w:r w:rsidR="004579AA">
        <w:rPr>
          <w:rFonts w:ascii="Aptos" w:hAnsi="Aptos"/>
          <w:color w:val="1A254C"/>
          <w:shd w:val="clear" w:color="auto" w:fill="FFFFFF"/>
        </w:rPr>
        <w:t xml:space="preserve"> model transform</w:t>
      </w:r>
      <w:r>
        <w:rPr>
          <w:rFonts w:ascii="Aptos" w:hAnsi="Aptos"/>
          <w:color w:val="1A254C"/>
          <w:shd w:val="clear" w:color="auto" w:fill="FFFFFF"/>
        </w:rPr>
        <w:t>s</w:t>
      </w:r>
      <w:r w:rsidR="004579AA">
        <w:rPr>
          <w:rFonts w:ascii="Aptos" w:hAnsi="Aptos"/>
          <w:color w:val="1A254C"/>
          <w:shd w:val="clear" w:color="auto" w:fill="FFFFFF"/>
        </w:rPr>
        <w:t xml:space="preserve"> chronic pain care and the treatment of noncommunicable diseases with evidence-based clinical decision support informed by artificial intelligence</w:t>
      </w:r>
      <w:r>
        <w:rPr>
          <w:rFonts w:ascii="Aptos" w:hAnsi="Aptos"/>
          <w:color w:val="1A254C"/>
          <w:shd w:val="clear" w:color="auto" w:fill="FFFFFF"/>
        </w:rPr>
        <w:t>.</w:t>
      </w:r>
    </w:p>
    <w:p w14:paraId="1445BF89" w14:textId="78C1373C" w:rsidR="00A64B46" w:rsidRDefault="00A64B46" w:rsidP="00A64B46">
      <w:r>
        <w:t xml:space="preserve">Edgar Ross, MD, TheraNetrix Chairman and Chief Medical Officer, is lead author with David Guydan, TheraNetrix President &amp; CEO, Robert Jamison, PhD, TheraNetrix Chief Scientific Officer, and two other colleagues as co-authors. Their peer-reviewed article was published in the </w:t>
      </w:r>
      <w:r w:rsidRPr="00F8172C">
        <w:rPr>
          <w:i/>
          <w:iCs/>
        </w:rPr>
        <w:t>Journal of Medical Research – Research Protocols</w:t>
      </w:r>
      <w:r>
        <w:t xml:space="preserve"> on February 9, 2026.</w:t>
      </w:r>
    </w:p>
    <w:p w14:paraId="215224EC" w14:textId="4DD73685" w:rsidR="00A64B46" w:rsidRDefault="00A64B46">
      <w:pPr>
        <w:rPr>
          <w:rFonts w:ascii="Aptos" w:hAnsi="Aptos"/>
          <w:color w:val="1A254C"/>
          <w:shd w:val="clear" w:color="auto" w:fill="FFFFFF"/>
        </w:rPr>
      </w:pPr>
      <w:r>
        <w:t xml:space="preserve">Citation: Ross, E., Ross, J., </w:t>
      </w:r>
      <w:proofErr w:type="spellStart"/>
      <w:r>
        <w:t>Beschler</w:t>
      </w:r>
      <w:proofErr w:type="spellEnd"/>
      <w:r>
        <w:t xml:space="preserve">, P., Guydan, D., &amp; Jamison, R. (2026). Designing a digital twin for the management of noncommunicable diseases: Protocol for a pilot study and methodology validation. </w:t>
      </w:r>
      <w:r>
        <w:rPr>
          <w:rStyle w:val="Emphasis"/>
        </w:rPr>
        <w:t>JMIR Research Protocols, 15</w:t>
      </w:r>
      <w:r>
        <w:t xml:space="preserve">, e75934. https://doi.org/10.2196/75934 </w:t>
      </w:r>
    </w:p>
    <w:p w14:paraId="490DACD8" w14:textId="337AC459" w:rsidR="00206C19" w:rsidRDefault="00DF2DA9">
      <w:pPr>
        <w:rPr>
          <w:rFonts w:ascii="Aptos" w:hAnsi="Aptos"/>
          <w:color w:val="1A254C"/>
          <w:shd w:val="clear" w:color="auto" w:fill="FFFFFF"/>
        </w:rPr>
      </w:pPr>
      <w:r w:rsidRPr="00A64B46">
        <w:rPr>
          <w:rFonts w:ascii="Aptos" w:hAnsi="Aptos"/>
          <w:b/>
          <w:bCs/>
          <w:color w:val="1A254C"/>
          <w:shd w:val="clear" w:color="auto" w:fill="FFFFFF"/>
        </w:rPr>
        <w:t>A Digital Twin is a virtual representation of a patient.</w:t>
      </w:r>
      <w:r w:rsidRPr="00DF2DA9">
        <w:rPr>
          <w:rFonts w:ascii="Aptos" w:hAnsi="Aptos"/>
          <w:color w:val="1A254C"/>
          <w:shd w:val="clear" w:color="auto" w:fill="FFFFFF"/>
        </w:rPr>
        <w:t xml:space="preserve"> </w:t>
      </w:r>
      <w:r>
        <w:rPr>
          <w:rFonts w:ascii="Aptos" w:hAnsi="Aptos"/>
          <w:color w:val="1A254C"/>
          <w:shd w:val="clear" w:color="auto" w:fill="FFFFFF"/>
        </w:rPr>
        <w:t>The TheraNetrix Clinical Decision Support System employs a Digital Twin model</w:t>
      </w:r>
      <w:r w:rsidRPr="00DF2DA9">
        <w:rPr>
          <w:rFonts w:ascii="Aptos" w:hAnsi="Aptos"/>
          <w:color w:val="1A254C"/>
          <w:shd w:val="clear" w:color="auto" w:fill="FFFFFF"/>
        </w:rPr>
        <w:t xml:space="preserve"> constructed by analyzing relevant</w:t>
      </w:r>
      <w:r>
        <w:rPr>
          <w:rFonts w:ascii="Aptos" w:hAnsi="Aptos"/>
          <w:color w:val="1A254C"/>
          <w:shd w:val="clear" w:color="auto" w:fill="FFFFFF"/>
        </w:rPr>
        <w:t xml:space="preserve"> patient </w:t>
      </w:r>
      <w:r w:rsidRPr="00DF2DA9">
        <w:rPr>
          <w:rFonts w:ascii="Aptos" w:hAnsi="Aptos"/>
          <w:color w:val="1A254C"/>
          <w:shd w:val="clear" w:color="auto" w:fill="FFFFFF"/>
        </w:rPr>
        <w:t xml:space="preserve">characteristics and </w:t>
      </w:r>
      <w:r w:rsidR="004579AA">
        <w:rPr>
          <w:rFonts w:ascii="Aptos" w:hAnsi="Aptos"/>
          <w:color w:val="1A254C"/>
          <w:shd w:val="clear" w:color="auto" w:fill="FFFFFF"/>
        </w:rPr>
        <w:t>patient medical issues, informed by artificial intelligence, to</w:t>
      </w:r>
      <w:r w:rsidRPr="00DF2DA9">
        <w:rPr>
          <w:rFonts w:ascii="Aptos" w:hAnsi="Aptos"/>
          <w:color w:val="1A254C"/>
          <w:shd w:val="clear" w:color="auto" w:fill="FFFFFF"/>
        </w:rPr>
        <w:t xml:space="preserve"> simulate potential treatment options and provide the best clinical course. D</w:t>
      </w:r>
      <w:r w:rsidR="004579AA">
        <w:rPr>
          <w:rFonts w:ascii="Aptos" w:hAnsi="Aptos"/>
          <w:color w:val="1A254C"/>
          <w:shd w:val="clear" w:color="auto" w:fill="FFFFFF"/>
        </w:rPr>
        <w:t xml:space="preserve">igital </w:t>
      </w:r>
      <w:r w:rsidRPr="00DF2DA9">
        <w:rPr>
          <w:rFonts w:ascii="Aptos" w:hAnsi="Aptos"/>
          <w:color w:val="1A254C"/>
          <w:shd w:val="clear" w:color="auto" w:fill="FFFFFF"/>
        </w:rPr>
        <w:t>T</w:t>
      </w:r>
      <w:r w:rsidR="004579AA">
        <w:rPr>
          <w:rFonts w:ascii="Aptos" w:hAnsi="Aptos"/>
          <w:color w:val="1A254C"/>
          <w:shd w:val="clear" w:color="auto" w:fill="FFFFFF"/>
        </w:rPr>
        <w:t>win</w:t>
      </w:r>
      <w:r w:rsidRPr="00DF2DA9">
        <w:rPr>
          <w:rFonts w:ascii="Aptos" w:hAnsi="Aptos"/>
          <w:color w:val="1A254C"/>
          <w:shd w:val="clear" w:color="auto" w:fill="FFFFFF"/>
        </w:rPr>
        <w:t xml:space="preserve">s have the potential to improve treatment compliance, address individual risks, reduce barriers to improvement, intervene before side effects become problematic, and enhance a therapeutic alliance between the patient and provider. This approach of combining individual characteristics and </w:t>
      </w:r>
      <w:r w:rsidR="004579AA">
        <w:rPr>
          <w:rFonts w:ascii="Aptos" w:hAnsi="Aptos"/>
          <w:color w:val="1A254C"/>
          <w:shd w:val="clear" w:color="auto" w:fill="FFFFFF"/>
        </w:rPr>
        <w:t>artificial intelligence</w:t>
      </w:r>
      <w:r w:rsidRPr="00DF2DA9">
        <w:rPr>
          <w:rFonts w:ascii="Aptos" w:hAnsi="Aptos"/>
          <w:color w:val="1A254C"/>
          <w:shd w:val="clear" w:color="auto" w:fill="FFFFFF"/>
        </w:rPr>
        <w:t xml:space="preserve"> </w:t>
      </w:r>
      <w:r w:rsidR="004579AA">
        <w:rPr>
          <w:rFonts w:ascii="Aptos" w:hAnsi="Aptos"/>
          <w:color w:val="1A254C"/>
          <w:shd w:val="clear" w:color="auto" w:fill="FFFFFF"/>
        </w:rPr>
        <w:t>in</w:t>
      </w:r>
      <w:r w:rsidRPr="00DF2DA9">
        <w:rPr>
          <w:rFonts w:ascii="Aptos" w:hAnsi="Aptos"/>
          <w:color w:val="1A254C"/>
          <w:shd w:val="clear" w:color="auto" w:fill="FFFFFF"/>
        </w:rPr>
        <w:t xml:space="preserve"> a D</w:t>
      </w:r>
      <w:r w:rsidR="004579AA">
        <w:rPr>
          <w:rFonts w:ascii="Aptos" w:hAnsi="Aptos"/>
          <w:color w:val="1A254C"/>
          <w:shd w:val="clear" w:color="auto" w:fill="FFFFFF"/>
        </w:rPr>
        <w:t xml:space="preserve">igital </w:t>
      </w:r>
      <w:r w:rsidRPr="00DF2DA9">
        <w:rPr>
          <w:rFonts w:ascii="Aptos" w:hAnsi="Aptos"/>
          <w:color w:val="1A254C"/>
          <w:shd w:val="clear" w:color="auto" w:fill="FFFFFF"/>
        </w:rPr>
        <w:t>T</w:t>
      </w:r>
      <w:r w:rsidR="004579AA">
        <w:rPr>
          <w:rFonts w:ascii="Aptos" w:hAnsi="Aptos"/>
          <w:color w:val="1A254C"/>
          <w:shd w:val="clear" w:color="auto" w:fill="FFFFFF"/>
        </w:rPr>
        <w:t>win</w:t>
      </w:r>
      <w:r w:rsidRPr="00DF2DA9">
        <w:rPr>
          <w:rFonts w:ascii="Aptos" w:hAnsi="Aptos"/>
          <w:color w:val="1A254C"/>
          <w:shd w:val="clear" w:color="auto" w:fill="FFFFFF"/>
        </w:rPr>
        <w:t xml:space="preserve"> that is unique to a patient helps to support the goal of personalized medicine. The </w:t>
      </w:r>
      <w:r w:rsidR="00A64B46" w:rsidRPr="00A64B46">
        <w:rPr>
          <w:rFonts w:ascii="Aptos" w:hAnsi="Aptos"/>
          <w:b/>
          <w:bCs/>
          <w:color w:val="1A254C"/>
          <w:shd w:val="clear" w:color="auto" w:fill="FFFFFF"/>
        </w:rPr>
        <w:t>TheraNetrix</w:t>
      </w:r>
      <w:r w:rsidRPr="00A64B46">
        <w:rPr>
          <w:rFonts w:ascii="Aptos" w:hAnsi="Aptos"/>
          <w:b/>
          <w:bCs/>
          <w:color w:val="1A254C"/>
          <w:shd w:val="clear" w:color="auto" w:fill="FFFFFF"/>
        </w:rPr>
        <w:t xml:space="preserve"> D</w:t>
      </w:r>
      <w:r w:rsidR="004579AA" w:rsidRPr="00A64B46">
        <w:rPr>
          <w:rFonts w:ascii="Aptos" w:hAnsi="Aptos"/>
          <w:b/>
          <w:bCs/>
          <w:color w:val="1A254C"/>
          <w:shd w:val="clear" w:color="auto" w:fill="FFFFFF"/>
        </w:rPr>
        <w:t xml:space="preserve">igital </w:t>
      </w:r>
      <w:r w:rsidRPr="00A64B46">
        <w:rPr>
          <w:rFonts w:ascii="Aptos" w:hAnsi="Aptos"/>
          <w:b/>
          <w:bCs/>
          <w:color w:val="1A254C"/>
          <w:shd w:val="clear" w:color="auto" w:fill="FFFFFF"/>
        </w:rPr>
        <w:t>T</w:t>
      </w:r>
      <w:r w:rsidR="004579AA" w:rsidRPr="00A64B46">
        <w:rPr>
          <w:rFonts w:ascii="Aptos" w:hAnsi="Aptos"/>
          <w:b/>
          <w:bCs/>
          <w:color w:val="1A254C"/>
          <w:shd w:val="clear" w:color="auto" w:fill="FFFFFF"/>
        </w:rPr>
        <w:t>win</w:t>
      </w:r>
      <w:r w:rsidR="004579AA">
        <w:rPr>
          <w:rFonts w:ascii="Aptos" w:hAnsi="Aptos"/>
          <w:color w:val="1A254C"/>
          <w:shd w:val="clear" w:color="auto" w:fill="FFFFFF"/>
        </w:rPr>
        <w:t xml:space="preserve"> </w:t>
      </w:r>
      <w:r w:rsidRPr="00DF2DA9">
        <w:rPr>
          <w:rFonts w:ascii="Aptos" w:hAnsi="Aptos"/>
          <w:color w:val="1A254C"/>
          <w:shd w:val="clear" w:color="auto" w:fill="FFFFFF"/>
        </w:rPr>
        <w:t xml:space="preserve"> represents a key technology that brings together the advantages of a comprehensive picture of a patient, leading to a precise diagnosis and a </w:t>
      </w:r>
      <w:r w:rsidR="006A38F0">
        <w:rPr>
          <w:rFonts w:ascii="Aptos" w:hAnsi="Aptos"/>
          <w:color w:val="1A254C"/>
          <w:shd w:val="clear" w:color="auto" w:fill="FFFFFF"/>
        </w:rPr>
        <w:t>t</w:t>
      </w:r>
      <w:r w:rsidRPr="00DF2DA9">
        <w:rPr>
          <w:rFonts w:ascii="Aptos" w:hAnsi="Aptos"/>
          <w:color w:val="1A254C"/>
          <w:shd w:val="clear" w:color="auto" w:fill="FFFFFF"/>
        </w:rPr>
        <w:t xml:space="preserve">reatment plan that is evidence-based </w:t>
      </w:r>
      <w:r w:rsidR="004579AA">
        <w:rPr>
          <w:rFonts w:ascii="Aptos" w:hAnsi="Aptos"/>
          <w:color w:val="1A254C"/>
          <w:shd w:val="clear" w:color="auto" w:fill="FFFFFF"/>
        </w:rPr>
        <w:t>and</w:t>
      </w:r>
      <w:r w:rsidRPr="00DF2DA9">
        <w:rPr>
          <w:rFonts w:ascii="Aptos" w:hAnsi="Aptos"/>
          <w:color w:val="1A254C"/>
          <w:shd w:val="clear" w:color="auto" w:fill="FFFFFF"/>
        </w:rPr>
        <w:t xml:space="preserve"> personalized</w:t>
      </w:r>
      <w:r w:rsidR="00A64B46">
        <w:rPr>
          <w:rFonts w:ascii="Aptos" w:hAnsi="Aptos"/>
          <w:color w:val="1A254C"/>
          <w:shd w:val="clear" w:color="auto" w:fill="FFFFFF"/>
        </w:rPr>
        <w:t>.</w:t>
      </w:r>
    </w:p>
    <w:p w14:paraId="018D4FF8" w14:textId="02A6F18D" w:rsidR="00A11305" w:rsidRDefault="00A11305">
      <w:r>
        <w:t xml:space="preserve">Link to the article at </w:t>
      </w:r>
      <w:hyperlink r:id="rId6" w:history="1">
        <w:r w:rsidRPr="000D27B2">
          <w:rPr>
            <w:rStyle w:val="Hyperlink"/>
          </w:rPr>
          <w:t>https://www.researchprotocols.org/2026/1/e75934/</w:t>
        </w:r>
      </w:hyperlink>
    </w:p>
    <w:p w14:paraId="62AFBDB5" w14:textId="77777777" w:rsidR="00A11305" w:rsidRDefault="00A11305"/>
    <w:sectPr w:rsidR="00A11305" w:rsidSect="00A64B46">
      <w:pgSz w:w="12240" w:h="15840"/>
      <w:pgMar w:top="16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2C"/>
    <w:rsid w:val="00206C19"/>
    <w:rsid w:val="002E32CD"/>
    <w:rsid w:val="00391D95"/>
    <w:rsid w:val="004579AA"/>
    <w:rsid w:val="00691073"/>
    <w:rsid w:val="006A38F0"/>
    <w:rsid w:val="00785701"/>
    <w:rsid w:val="00A11305"/>
    <w:rsid w:val="00A64B46"/>
    <w:rsid w:val="00C27A99"/>
    <w:rsid w:val="00CF754C"/>
    <w:rsid w:val="00DF2DA9"/>
    <w:rsid w:val="00F8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F0019"/>
  <w15:chartTrackingRefBased/>
  <w15:docId w15:val="{AAAFF4A1-33FA-4900-BEA0-92A6CAE4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72C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72C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7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7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7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7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7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7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72C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7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7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7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7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7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7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72C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F8172C"/>
    <w:rPr>
      <w:i/>
      <w:iCs/>
    </w:rPr>
  </w:style>
  <w:style w:type="character" w:styleId="Hyperlink">
    <w:name w:val="Hyperlink"/>
    <w:basedOn w:val="DefaultParagraphFont"/>
    <w:uiPriority w:val="99"/>
    <w:unhideWhenUsed/>
    <w:rsid w:val="00A113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searchprotocols.org/2026/1/e75934/" TargetMode="External"/><Relationship Id="rId5" Type="http://schemas.openxmlformats.org/officeDocument/2006/relationships/hyperlink" Target="https://www.researchprotocols.org/2026/1/e75934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Guydan</dc:creator>
  <cp:keywords/>
  <dc:description/>
  <cp:lastModifiedBy>David Guydan</cp:lastModifiedBy>
  <cp:revision>4</cp:revision>
  <dcterms:created xsi:type="dcterms:W3CDTF">2026-02-10T02:10:00Z</dcterms:created>
  <dcterms:modified xsi:type="dcterms:W3CDTF">2026-02-10T16:38:00Z</dcterms:modified>
</cp:coreProperties>
</file>